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B3" w:rsidRPr="00A36324" w:rsidRDefault="009D51B3" w:rsidP="009D51B3">
      <w:pPr>
        <w:spacing w:after="0" w:line="240" w:lineRule="auto"/>
        <w:ind w:left="1134"/>
        <w:rPr>
          <w:rFonts w:ascii="Times New Roman" w:eastAsia="Times New Roman" w:hAnsi="Times New Roman"/>
          <w:b/>
          <w:sz w:val="24"/>
          <w:szCs w:val="24"/>
          <w:lang w:eastAsia="fr-BE"/>
        </w:rPr>
      </w:pPr>
    </w:p>
    <w:p w:rsidR="009D51B3" w:rsidRDefault="009D51B3" w:rsidP="009D51B3">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23 août 2023</w:t>
      </w:r>
      <w:r w:rsidRPr="00A36324">
        <w:rPr>
          <w:rFonts w:ascii="Times New Roman" w:eastAsia="Times New Roman" w:hAnsi="Times New Roman"/>
          <w:sz w:val="24"/>
          <w:szCs w:val="24"/>
          <w:lang w:eastAsia="fr-BE"/>
        </w:rPr>
        <w:t xml:space="preserve">     </w:t>
      </w:r>
    </w:p>
    <w:p w:rsidR="009D51B3" w:rsidRPr="00A36324" w:rsidRDefault="009D51B3" w:rsidP="009D51B3">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9D51B3" w:rsidRPr="00A36324" w:rsidRDefault="009D51B3" w:rsidP="009D51B3">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9D51B3" w:rsidRDefault="009D51B3" w:rsidP="009D51B3">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Pr>
          <w:rFonts w:ascii="Times New Roman" w:eastAsia="Times New Roman" w:hAnsi="Times New Roman"/>
          <w:b/>
          <w:color w:val="FF0000"/>
          <w:sz w:val="24"/>
          <w:szCs w:val="24"/>
          <w:lang w:eastAsia="fr-BE"/>
        </w:rPr>
        <w:t xml:space="preserve"> 31 août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9D51B3" w:rsidRPr="00A36324" w:rsidRDefault="009D51B3" w:rsidP="009D51B3">
      <w:pPr>
        <w:spacing w:after="0" w:line="240" w:lineRule="auto"/>
        <w:ind w:left="567"/>
        <w:rPr>
          <w:rFonts w:ascii="Times New Roman" w:eastAsia="Times New Roman" w:hAnsi="Times New Roman"/>
          <w:sz w:val="24"/>
          <w:szCs w:val="24"/>
          <w:lang w:eastAsia="fr-BE"/>
        </w:rPr>
      </w:pPr>
    </w:p>
    <w:p w:rsidR="009D51B3" w:rsidRPr="00A36324" w:rsidRDefault="009D51B3" w:rsidP="009D51B3">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D51B3" w:rsidRDefault="009D51B3" w:rsidP="009D51B3">
      <w:pPr>
        <w:spacing w:after="0" w:line="240" w:lineRule="auto"/>
        <w:ind w:left="567"/>
        <w:jc w:val="center"/>
        <w:rPr>
          <w:rFonts w:ascii="Times New Roman" w:eastAsia="Times New Roman" w:hAnsi="Times New Roman"/>
          <w:sz w:val="24"/>
          <w:szCs w:val="24"/>
          <w:lang w:eastAsia="fr-BE"/>
        </w:rPr>
      </w:pPr>
    </w:p>
    <w:p w:rsidR="009D51B3" w:rsidRPr="004F31F7" w:rsidRDefault="009D51B3" w:rsidP="009D51B3">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9D51B3" w:rsidRDefault="009D51B3" w:rsidP="009D51B3">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9D51B3" w:rsidRPr="00F039F0" w:rsidRDefault="009D51B3" w:rsidP="009D51B3">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9D51B3" w:rsidRDefault="009D51B3" w:rsidP="009D51B3">
      <w:pPr>
        <w:spacing w:after="40" w:line="240" w:lineRule="auto"/>
        <w:ind w:left="357"/>
        <w:jc w:val="center"/>
        <w:rPr>
          <w:rFonts w:ascii="Times New Roman" w:eastAsia="Times New Roman" w:hAnsi="Times New Roman"/>
          <w:i/>
          <w:sz w:val="24"/>
          <w:szCs w:val="24"/>
          <w:lang w:eastAsia="fr-BE"/>
        </w:rPr>
      </w:pPr>
    </w:p>
    <w:p w:rsidR="009D51B3" w:rsidRDefault="009D51B3" w:rsidP="009D51B3">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92575F" w:rsidRDefault="0092575F" w:rsidP="009D51B3">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Vérifications </w:t>
      </w:r>
      <w:r w:rsidR="008F1C38">
        <w:rPr>
          <w:rFonts w:ascii="Times New Roman" w:eastAsia="Times New Roman" w:hAnsi="Times New Roman"/>
          <w:sz w:val="24"/>
          <w:szCs w:val="24"/>
          <w:lang w:eastAsia="fr-BE"/>
        </w:rPr>
        <w:t xml:space="preserve">encaisses receveur – Communication </w:t>
      </w:r>
      <w:bookmarkStart w:id="0" w:name="_GoBack"/>
      <w:bookmarkEnd w:id="0"/>
      <w:r>
        <w:rPr>
          <w:rFonts w:ascii="Times New Roman" w:eastAsia="Times New Roman" w:hAnsi="Times New Roman"/>
          <w:sz w:val="24"/>
          <w:szCs w:val="24"/>
          <w:lang w:eastAsia="fr-BE"/>
        </w:rPr>
        <w:t xml:space="preserve"> </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Compte communal 2022 - Approbation</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Budget 2023 – Modifications budgétaires ordinaire et extraordinaire n° 02 – Approbation </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Primes à l’utilisation d’énergie renouvelables – Arrêt des primes 2023</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Zone de Police de Hesbaye – Contribution communale 2023</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MPF – Achat de véhicules pour le service travaux – Approbation CMPCM</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CSL – Contrat de gestion - Approbation</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Acquisition et utilisation d’un drone par la zone de police de Hesbaye - Autorisation</w:t>
      </w:r>
    </w:p>
    <w:p w:rsidR="009D51B3" w:rsidRDefault="009D51B3"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Plan de stérilisation des chats errants – Convention de partenariat entre la Commune de Donceel et la SRPA pour l’année 2023 – Approbation </w:t>
      </w:r>
    </w:p>
    <w:p w:rsidR="00091C8A" w:rsidRDefault="00091C8A"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Fabrique d’Eglise de Donceel – Approbation budget 2023</w:t>
      </w:r>
    </w:p>
    <w:p w:rsidR="00091C8A" w:rsidRDefault="00091C8A" w:rsidP="009D51B3">
      <w:pPr>
        <w:pStyle w:val="Paragraphedeliste"/>
        <w:widowControl w:val="0"/>
        <w:numPr>
          <w:ilvl w:val="0"/>
          <w:numId w:val="1"/>
        </w:numPr>
        <w:suppressAutoHyphens/>
        <w:autoSpaceDN w:val="0"/>
        <w:textAlignment w:val="baseline"/>
        <w:rPr>
          <w:kern w:val="3"/>
          <w:sz w:val="24"/>
          <w:szCs w:val="24"/>
        </w:rPr>
      </w:pPr>
      <w:r>
        <w:rPr>
          <w:kern w:val="3"/>
          <w:sz w:val="24"/>
          <w:szCs w:val="24"/>
        </w:rPr>
        <w:t>Biodiversité/résilience – Convention de partenariat entre la Province de Liège, la Commune de Donceel et le CRMA dans le cadre de l’appel à projet 2023 – Approbation</w:t>
      </w:r>
    </w:p>
    <w:p w:rsidR="00091C8A" w:rsidRPr="00091C8A" w:rsidRDefault="00091C8A" w:rsidP="00091C8A">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Convention de gestion d’un bassin d’orage et de création d’une zone d’immersion temporaire entre les communes de </w:t>
      </w:r>
      <w:proofErr w:type="spellStart"/>
      <w:r>
        <w:rPr>
          <w:kern w:val="3"/>
          <w:sz w:val="24"/>
          <w:szCs w:val="24"/>
        </w:rPr>
        <w:t>Fexhe</w:t>
      </w:r>
      <w:proofErr w:type="spellEnd"/>
      <w:r>
        <w:rPr>
          <w:kern w:val="3"/>
          <w:sz w:val="24"/>
          <w:szCs w:val="24"/>
        </w:rPr>
        <w:t>-Le-Haut-Clocher, Remicourt et Donceel – Approbation</w:t>
      </w:r>
    </w:p>
    <w:p w:rsidR="009D51B3" w:rsidRPr="009C3D99" w:rsidRDefault="009D51B3" w:rsidP="009D51B3">
      <w:pPr>
        <w:widowControl w:val="0"/>
        <w:suppressAutoHyphens/>
        <w:autoSpaceDN w:val="0"/>
        <w:textAlignment w:val="baseline"/>
        <w:rPr>
          <w:kern w:val="3"/>
          <w:sz w:val="24"/>
          <w:szCs w:val="24"/>
        </w:rPr>
      </w:pPr>
    </w:p>
    <w:p w:rsidR="009D51B3" w:rsidRDefault="009D51B3" w:rsidP="009D51B3">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9D51B3" w:rsidRDefault="009D51B3" w:rsidP="009D51B3">
      <w:pPr>
        <w:pStyle w:val="Paragraphedeliste"/>
        <w:widowControl w:val="0"/>
        <w:suppressAutoHyphens/>
        <w:autoSpaceDN w:val="0"/>
        <w:ind w:left="1001"/>
        <w:textAlignment w:val="baseline"/>
        <w:rPr>
          <w:rFonts w:eastAsia="Calibri"/>
          <w:b/>
          <w:i/>
          <w:kern w:val="3"/>
          <w:sz w:val="24"/>
          <w:szCs w:val="24"/>
          <w:u w:val="single"/>
        </w:rPr>
      </w:pP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 xml:space="preserve">Liste des agents temporaires prioritaires au 30 juin 2023 – Arrêt </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primaire, pour 22 P/S, du 03/04/2023 au 28/04/2023 dans le remplacement la titulaire, malade</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maternelle, pour 20 P/S, du 10/04/2023 au 28/04/2023 dans le remplacement de la titulaire, malade</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maternelle, pour 6 P/S, du 13/04/2023 au 14/04/2023 dans le remplacement de la titulaire, malade</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maternelle pour 13 P/S, du 31/05/2023 au 07/07/2023 (ouverture de cadre maternel)</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maternelle, pour 26 P/S, du 17/04/2023 au 28/04/2023 dans le remplacement de la titulaire, malade</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primaire, pour 4 P/S, du 31/05/2023 au 07/07/2023 dans un emploi vacant</w:t>
      </w:r>
    </w:p>
    <w:p w:rsidR="00091C8A" w:rsidRPr="00091C8A"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maternelle, pour 13 P/S, du 31/05/2023 au 07/07/2023 (ouverture du cadre maternel)</w:t>
      </w:r>
    </w:p>
    <w:p w:rsidR="00091C8A" w:rsidRPr="002C22C3" w:rsidRDefault="00091C8A" w:rsidP="00091C8A">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t>Ratification désignation à titre temporaire d’une institutrice primaire, pour 6 P/S, du 31/05/2023 au 07/07/2023</w:t>
      </w:r>
      <w:r w:rsidR="002C22C3">
        <w:rPr>
          <w:kern w:val="3"/>
          <w:sz w:val="24"/>
          <w:szCs w:val="24"/>
        </w:rPr>
        <w:t>, dans un emploi vacant</w:t>
      </w:r>
      <w:r>
        <w:rPr>
          <w:kern w:val="3"/>
          <w:sz w:val="24"/>
          <w:szCs w:val="24"/>
        </w:rPr>
        <w:t xml:space="preserve"> </w:t>
      </w:r>
    </w:p>
    <w:p w:rsidR="002C22C3" w:rsidRPr="0098314A" w:rsidRDefault="002C22C3" w:rsidP="002C22C3">
      <w:pPr>
        <w:pStyle w:val="Paragraphedeliste"/>
        <w:widowControl w:val="0"/>
        <w:suppressAutoHyphens/>
        <w:autoSpaceDN w:val="0"/>
        <w:ind w:left="1001"/>
        <w:textAlignment w:val="baseline"/>
        <w:rPr>
          <w:rFonts w:eastAsia="Calibri"/>
          <w:kern w:val="3"/>
          <w:sz w:val="24"/>
          <w:szCs w:val="24"/>
        </w:rPr>
      </w:pPr>
    </w:p>
    <w:p w:rsidR="002C22C3" w:rsidRP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kern w:val="3"/>
          <w:sz w:val="24"/>
          <w:szCs w:val="24"/>
        </w:rPr>
        <w:lastRenderedPageBreak/>
        <w:t xml:space="preserve">C.C.A.T.M. – Retrait décision de la désignation d’un membre suppléant suite à l’invalidation de la décision </w:t>
      </w:r>
    </w:p>
    <w:p w:rsidR="002C22C3" w:rsidRPr="002C22C3" w:rsidRDefault="002C22C3" w:rsidP="002C22C3">
      <w:pPr>
        <w:pStyle w:val="Paragraphedeliste"/>
        <w:rPr>
          <w:rFonts w:eastAsia="Calibri"/>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pStyle w:val="Paragraphedeliste"/>
        <w:rPr>
          <w:rFonts w:eastAsia="Calibri"/>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widowControl w:val="0"/>
        <w:suppressAutoHyphens/>
        <w:autoSpaceDN w:val="0"/>
        <w:textAlignment w:val="baseline"/>
        <w:rPr>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widowControl w:val="0"/>
        <w:suppressAutoHyphens/>
        <w:autoSpaceDN w:val="0"/>
        <w:textAlignment w:val="baseline"/>
        <w:rPr>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widowControl w:val="0"/>
        <w:suppressAutoHyphens/>
        <w:autoSpaceDN w:val="0"/>
        <w:textAlignment w:val="baseline"/>
        <w:rPr>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widowControl w:val="0"/>
        <w:suppressAutoHyphens/>
        <w:autoSpaceDN w:val="0"/>
        <w:textAlignment w:val="baseline"/>
        <w:rPr>
          <w:kern w:val="3"/>
          <w:sz w:val="24"/>
          <w:szCs w:val="24"/>
        </w:rPr>
      </w:pPr>
    </w:p>
    <w:p w:rsidR="002C22C3"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Plan PLUIES – Renouvellement de la convention entre la Commune de Donceel et un agriculteur local – Approbation</w:t>
      </w:r>
    </w:p>
    <w:p w:rsidR="002C22C3" w:rsidRPr="002C22C3" w:rsidRDefault="002C22C3" w:rsidP="002C22C3">
      <w:pPr>
        <w:widowControl w:val="0"/>
        <w:suppressAutoHyphens/>
        <w:autoSpaceDN w:val="0"/>
        <w:textAlignment w:val="baseline"/>
        <w:rPr>
          <w:kern w:val="3"/>
          <w:sz w:val="24"/>
          <w:szCs w:val="24"/>
        </w:rPr>
      </w:pPr>
    </w:p>
    <w:p w:rsidR="002C22C3" w:rsidRPr="00091C8A" w:rsidRDefault="002C22C3" w:rsidP="002C22C3">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 xml:space="preserve">Grade légal – Recrutement d’un Directeur général – Nomination à titre définitif à l’issue du stage – Décision </w:t>
      </w:r>
    </w:p>
    <w:p w:rsidR="009D51B3" w:rsidRPr="004F31F7" w:rsidRDefault="009D51B3" w:rsidP="009D51B3">
      <w:pPr>
        <w:spacing w:after="40"/>
        <w:rPr>
          <w:sz w:val="24"/>
          <w:szCs w:val="24"/>
        </w:rPr>
      </w:pPr>
      <w:r>
        <w:rPr>
          <w:rFonts w:ascii="Times New Roman" w:eastAsia="Times New Roman" w:hAnsi="Times New Roman"/>
          <w:noProof/>
          <w:sz w:val="24"/>
          <w:szCs w:val="24"/>
          <w:lang w:eastAsia="fr-BE"/>
        </w:rPr>
        <w:drawing>
          <wp:anchor distT="0" distB="0" distL="114300" distR="114300" simplePos="0" relativeHeight="251660288" behindDoc="1" locked="0" layoutInCell="1" allowOverlap="1" wp14:anchorId="2E746B1A" wp14:editId="433D8868">
            <wp:simplePos x="0" y="0"/>
            <wp:positionH relativeFrom="page">
              <wp:posOffset>4924425</wp:posOffset>
            </wp:positionH>
            <wp:positionV relativeFrom="paragraph">
              <wp:posOffset>5715</wp:posOffset>
            </wp:positionV>
            <wp:extent cx="2438400" cy="2045335"/>
            <wp:effectExtent l="0" t="0" r="0" b="0"/>
            <wp:wrapNone/>
            <wp:docPr id="1" name="Image 1"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5" cstate="print">
                      <a:extLst>
                        <a:ext uri="{28A0092B-C50C-407E-A947-70E740481C1C}">
                          <a14:useLocalDpi xmlns:a14="http://schemas.microsoft.com/office/drawing/2010/main" val="0"/>
                        </a:ext>
                      </a:extLst>
                    </a:blip>
                    <a:srcRect t="14789"/>
                    <a:stretch>
                      <a:fillRect/>
                    </a:stretch>
                  </pic:blipFill>
                  <pic:spPr bwMode="auto">
                    <a:xfrm>
                      <a:off x="0" y="0"/>
                      <a:ext cx="243840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1B3" w:rsidRDefault="009D51B3" w:rsidP="009D51B3">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9D51B3" w:rsidRDefault="009D51B3" w:rsidP="009D51B3">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2AA6CDF5" wp14:editId="5C37F11D">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w:t>
      </w:r>
      <w:r>
        <w:rPr>
          <w:rFonts w:ascii="Times New Roman" w:eastAsia="Times New Roman" w:hAnsi="Times New Roman"/>
          <w:sz w:val="24"/>
          <w:szCs w:val="24"/>
          <w:lang w:val="fr-FR" w:eastAsia="fr-BE"/>
        </w:rPr>
        <w:t xml:space="preserve">e Bourgmestre,   </w:t>
      </w:r>
    </w:p>
    <w:p w:rsidR="009D51B3" w:rsidRDefault="009D51B3" w:rsidP="009D51B3">
      <w:pPr>
        <w:spacing w:after="40" w:line="240" w:lineRule="auto"/>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Pr>
          <w:rFonts w:ascii="Times New Roman" w:eastAsia="Times New Roman" w:hAnsi="Times New Roman"/>
          <w:noProof/>
          <w:sz w:val="24"/>
          <w:szCs w:val="24"/>
          <w:lang w:eastAsia="fr-BE"/>
        </w:rPr>
        <w:drawing>
          <wp:inline distT="0" distB="0" distL="0" distR="0" wp14:anchorId="6929DFD1" wp14:editId="067C3F8D">
            <wp:extent cx="1552575" cy="944058"/>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ierre.PNG"/>
                    <pic:cNvPicPr/>
                  </pic:nvPicPr>
                  <pic:blipFill>
                    <a:blip r:embed="rId7">
                      <a:extLst>
                        <a:ext uri="{28A0092B-C50C-407E-A947-70E740481C1C}">
                          <a14:useLocalDpi xmlns:a14="http://schemas.microsoft.com/office/drawing/2010/main" val="0"/>
                        </a:ext>
                      </a:extLst>
                    </a:blip>
                    <a:stretch>
                      <a:fillRect/>
                    </a:stretch>
                  </pic:blipFill>
                  <pic:spPr>
                    <a:xfrm>
                      <a:off x="0" y="0"/>
                      <a:ext cx="1583661" cy="962960"/>
                    </a:xfrm>
                    <a:prstGeom prst="rect">
                      <a:avLst/>
                    </a:prstGeom>
                  </pic:spPr>
                </pic:pic>
              </a:graphicData>
            </a:graphic>
          </wp:inline>
        </w:drawing>
      </w:r>
      <w:r>
        <w:rPr>
          <w:rFonts w:ascii="Times New Roman" w:eastAsia="Times New Roman" w:hAnsi="Times New Roman"/>
          <w:sz w:val="24"/>
          <w:szCs w:val="24"/>
          <w:lang w:val="fr-FR" w:eastAsia="fr-BE"/>
        </w:rPr>
        <w:t xml:space="preserve">                                                                     </w:t>
      </w:r>
    </w:p>
    <w:p w:rsidR="009D51B3" w:rsidRDefault="009D51B3" w:rsidP="009D51B3">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9D51B3" w:rsidRDefault="009D51B3" w:rsidP="009D51B3">
      <w:pPr>
        <w:spacing w:after="120" w:line="240" w:lineRule="auto"/>
        <w:ind w:left="1416"/>
      </w:pPr>
      <w:r>
        <w:rPr>
          <w:rFonts w:ascii="Times New Roman" w:eastAsia="Times New Roman" w:hAnsi="Times New Roman"/>
          <w:sz w:val="24"/>
          <w:szCs w:val="24"/>
          <w:lang w:val="fr-FR" w:eastAsia="fr-BE"/>
        </w:rPr>
        <w:t xml:space="preserve">    Pierre CHRISTIAENS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Philippe MORDANT</w:t>
      </w:r>
    </w:p>
    <w:p w:rsidR="009D51B3" w:rsidRDefault="009D51B3" w:rsidP="009D51B3"/>
    <w:p w:rsidR="009D51B3" w:rsidRDefault="009D51B3" w:rsidP="009D51B3"/>
    <w:p w:rsidR="009D51B3" w:rsidRDefault="009D51B3" w:rsidP="009D51B3"/>
    <w:p w:rsidR="009D51B3" w:rsidRDefault="009D51B3" w:rsidP="009D51B3"/>
    <w:p w:rsidR="00664BA9" w:rsidRDefault="008F1C38"/>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3"/>
    <w:rsid w:val="00091C8A"/>
    <w:rsid w:val="000C4E68"/>
    <w:rsid w:val="001A1621"/>
    <w:rsid w:val="002C22C3"/>
    <w:rsid w:val="008F1C38"/>
    <w:rsid w:val="0092575F"/>
    <w:rsid w:val="009D51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E52E"/>
  <w15:chartTrackingRefBased/>
  <w15:docId w15:val="{035638B5-ADCE-48B8-9CAC-48BA4643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B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1B3"/>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9257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7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cp:lastPrinted>2023-08-23T17:03:00Z</cp:lastPrinted>
  <dcterms:created xsi:type="dcterms:W3CDTF">2023-08-23T13:32:00Z</dcterms:created>
  <dcterms:modified xsi:type="dcterms:W3CDTF">2023-08-23T17:06:00Z</dcterms:modified>
</cp:coreProperties>
</file>